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94BF4" w:rsidRDefault="009C218E" w:rsidP="009C218E">
      <w:pPr>
        <w:pStyle w:val="HEAD"/>
        <w:rPr>
          <w:rFonts w:eastAsia="新細明體" w:hint="eastAsia"/>
        </w:rPr>
      </w:pPr>
      <w:r>
        <w:rPr>
          <w:rFonts w:eastAsia="新細明體" w:hint="eastAsia"/>
        </w:rPr>
        <w:t>NATIONAL SUN YAT-SEN UNIVERSITY</w:t>
      </w:r>
    </w:p>
    <w:p w:rsidR="00D32C51" w:rsidRDefault="009C218E" w:rsidP="009C218E">
      <w:pPr>
        <w:pStyle w:val="HEAD"/>
        <w:rPr>
          <w:rFonts w:eastAsia="新細明體"/>
        </w:rPr>
      </w:pPr>
      <w:r>
        <w:rPr>
          <w:rFonts w:eastAsia="新細明體" w:hint="eastAsia"/>
        </w:rPr>
        <w:t xml:space="preserve"> </w:t>
      </w:r>
    </w:p>
    <w:p w:rsidR="009C218E" w:rsidRDefault="00594BF4" w:rsidP="009C218E">
      <w:pPr>
        <w:pStyle w:val="HEAD"/>
        <w:rPr>
          <w:rFonts w:eastAsia="新細明體"/>
        </w:rPr>
      </w:pPr>
      <w:r>
        <w:rPr>
          <w:rFonts w:eastAsia="新細明體" w:hint="eastAsia"/>
        </w:rPr>
        <w:t>Department of Computer Science and Engineering</w:t>
      </w:r>
    </w:p>
    <w:p w:rsidR="00D32C51" w:rsidRDefault="00777B02" w:rsidP="009C218E">
      <w:pPr>
        <w:pStyle w:val="HEAD"/>
        <w:rPr>
          <w:rFonts w:eastAsia="新細明體"/>
        </w:rPr>
      </w:pPr>
      <w:r>
        <w:rPr>
          <w:rFonts w:eastAsia="新細明體" w:hint="eastAsia"/>
        </w:rPr>
        <w:t>R</w:t>
      </w:r>
      <w:r>
        <w:rPr>
          <w:rFonts w:eastAsia="新細明體"/>
        </w:rPr>
        <w:t>e</w:t>
      </w:r>
      <w:r>
        <w:rPr>
          <w:rFonts w:eastAsia="新細明體" w:hint="eastAsia"/>
        </w:rPr>
        <w:t xml:space="preserve">gulations for </w:t>
      </w:r>
      <w:r w:rsidR="009C218E">
        <w:rPr>
          <w:rFonts w:eastAsia="新細明體" w:hint="eastAsia"/>
        </w:rPr>
        <w:t xml:space="preserve">Implementation </w:t>
      </w:r>
      <w:r>
        <w:rPr>
          <w:rFonts w:eastAsia="新細明體" w:hint="eastAsia"/>
        </w:rPr>
        <w:t>of</w:t>
      </w:r>
      <w:r w:rsidR="009C218E">
        <w:rPr>
          <w:rFonts w:eastAsia="新細明體" w:hint="eastAsia"/>
        </w:rPr>
        <w:t xml:space="preserve"> Scholarships of Undergraduate Professional Courses</w:t>
      </w:r>
    </w:p>
    <w:p w:rsidR="009C218E" w:rsidRPr="00777B02" w:rsidRDefault="009C218E" w:rsidP="00777B02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777B02" w:rsidRDefault="00777B02" w:rsidP="00777B02">
      <w:pPr>
        <w:pStyle w:val="HEAD"/>
        <w:jc w:val="left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</w:rPr>
        <w:t>Approved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partment General Meeting on October 24, 2012.</w:t>
      </w:r>
    </w:p>
    <w:p w:rsidR="00777B02" w:rsidRPr="00777B02" w:rsidRDefault="00777B02" w:rsidP="00777B02">
      <w:pPr>
        <w:pStyle w:val="HEAD"/>
        <w:jc w:val="left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</w:rPr>
        <w:t>Amended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 xml:space="preserve">partment General Meeting on February 12, 2015. </w:t>
      </w:r>
    </w:p>
    <w:p w:rsidR="00777B02" w:rsidRPr="00777B02" w:rsidRDefault="00777B02" w:rsidP="00777B02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9C218E" w:rsidRDefault="009C218E" w:rsidP="009C218E">
      <w:pPr>
        <w:pStyle w:val="ARTICLE"/>
      </w:pPr>
      <w:r>
        <w:t>Purpose:</w:t>
      </w:r>
    </w:p>
    <w:p w:rsidR="009C218E" w:rsidRDefault="009C218E" w:rsidP="009C218E">
      <w:pPr>
        <w:pStyle w:val="ARTICLE"/>
        <w:numPr>
          <w:ilvl w:val="0"/>
          <w:numId w:val="0"/>
        </w:numPr>
        <w:ind w:left="720"/>
      </w:pPr>
      <w:r>
        <w:t xml:space="preserve">The present regulations are set to encourage </w:t>
      </w:r>
      <w:r w:rsidR="00594BF4">
        <w:t>diligent</w:t>
      </w:r>
      <w:r w:rsidR="00594BF4">
        <w:t xml:space="preserve"> </w:t>
      </w:r>
      <w:r>
        <w:t>students, enhance their learning attitude, and reward improving and outstanding students</w:t>
      </w:r>
      <w:r w:rsidRPr="009C218E">
        <w:t xml:space="preserve"> </w:t>
      </w:r>
      <w:r>
        <w:t xml:space="preserve">in the Department of Computer Science </w:t>
      </w:r>
      <w:r w:rsidR="00594BF4">
        <w:rPr>
          <w:rFonts w:eastAsia="新細明體" w:hint="eastAsia"/>
        </w:rPr>
        <w:t xml:space="preserve">and Engineering </w:t>
      </w:r>
      <w:r>
        <w:t>(hereafter referred to as “the Department”).</w:t>
      </w:r>
    </w:p>
    <w:p w:rsidR="009C218E" w:rsidRDefault="00594BF4" w:rsidP="009C218E">
      <w:pPr>
        <w:pStyle w:val="ARTICLE"/>
      </w:pPr>
      <w:r>
        <w:rPr>
          <w:rFonts w:eastAsia="新細明體"/>
        </w:rPr>
        <w:t>R</w:t>
      </w:r>
      <w:r>
        <w:rPr>
          <w:rFonts w:eastAsia="新細明體" w:hint="eastAsia"/>
        </w:rPr>
        <w:t>ecipients</w:t>
      </w:r>
      <w:r w:rsidR="009C218E">
        <w:t>:</w:t>
      </w:r>
    </w:p>
    <w:p w:rsidR="009C218E" w:rsidRDefault="009C218E" w:rsidP="009C218E">
      <w:pPr>
        <w:pStyle w:val="PARAGRAPH"/>
      </w:pPr>
      <w:r>
        <w:t>Students enrolled in one of the Department’s undergradu</w:t>
      </w:r>
      <w:r w:rsidR="00594BF4">
        <w:t>ate programs. Applicants who ha</w:t>
      </w:r>
      <w:r w:rsidR="00594BF4">
        <w:rPr>
          <w:rFonts w:eastAsia="新細明體" w:hint="eastAsia"/>
        </w:rPr>
        <w:t>ve</w:t>
      </w:r>
      <w:r>
        <w:t xml:space="preserve"> previous</w:t>
      </w:r>
      <w:r w:rsidR="00594BF4">
        <w:rPr>
          <w:rFonts w:eastAsia="新細明體" w:hint="eastAsia"/>
        </w:rPr>
        <w:t>ly</w:t>
      </w:r>
      <w:r>
        <w:t xml:space="preserve"> received scholarly aw</w:t>
      </w:r>
      <w:r w:rsidR="00594BF4">
        <w:t>ards from the National Sun Yat-</w:t>
      </w:r>
      <w:r w:rsidR="00594BF4">
        <w:rPr>
          <w:rFonts w:eastAsia="新細明體" w:hint="eastAsia"/>
        </w:rPr>
        <w:t>s</w:t>
      </w:r>
      <w:r>
        <w:t xml:space="preserve">en University (hereafter referred to as “the </w:t>
      </w:r>
      <w:r w:rsidR="0016581C">
        <w:t>University</w:t>
      </w:r>
      <w:r>
        <w:t xml:space="preserve">”) or students </w:t>
      </w:r>
      <w:r w:rsidR="00594BF4">
        <w:rPr>
          <w:rFonts w:eastAsia="新細明體" w:hint="eastAsia"/>
        </w:rPr>
        <w:t xml:space="preserve">retaking courses </w:t>
      </w:r>
      <w:r>
        <w:t xml:space="preserve">are not </w:t>
      </w:r>
      <w:r w:rsidR="00594BF4">
        <w:rPr>
          <w:rFonts w:eastAsia="新細明體" w:hint="eastAsia"/>
        </w:rPr>
        <w:t>eligible</w:t>
      </w:r>
      <w:r>
        <w:t>.</w:t>
      </w:r>
    </w:p>
    <w:p w:rsidR="009C218E" w:rsidRDefault="00C41361" w:rsidP="009C218E">
      <w:pPr>
        <w:pStyle w:val="PARAGRAPH"/>
      </w:pPr>
      <w:r>
        <w:t>Students must have attendance score of 80 or higher.</w:t>
      </w:r>
    </w:p>
    <w:p w:rsidR="00C41361" w:rsidRDefault="00C41361" w:rsidP="00C41361">
      <w:pPr>
        <w:pStyle w:val="ARTICLE"/>
      </w:pPr>
      <w:r>
        <w:t xml:space="preserve">Scholarship Regulations and </w:t>
      </w:r>
      <w:r w:rsidR="001533D0">
        <w:rPr>
          <w:rFonts w:eastAsia="新細明體" w:hint="eastAsia"/>
        </w:rPr>
        <w:t>Places</w:t>
      </w:r>
      <w:r>
        <w:t>:</w:t>
      </w:r>
    </w:p>
    <w:p w:rsidR="00C41361" w:rsidRDefault="00C41361" w:rsidP="00C41361">
      <w:pPr>
        <w:pStyle w:val="PARAGRAPH"/>
      </w:pPr>
      <w:r>
        <w:t xml:space="preserve">Outstanding award (seven </w:t>
      </w:r>
      <w:r w:rsidR="001533D0">
        <w:t>students): Students who obtain</w:t>
      </w:r>
      <w:r>
        <w:t xml:space="preserve"> the highest score in a minimum of thre</w:t>
      </w:r>
      <w:r w:rsidR="001533D0">
        <w:t xml:space="preserve">e courses (taught by different </w:t>
      </w:r>
      <w:r w:rsidR="001533D0">
        <w:rPr>
          <w:rFonts w:eastAsia="新細明體" w:hint="eastAsia"/>
        </w:rPr>
        <w:t>faculty members</w:t>
      </w:r>
      <w:r>
        <w:t xml:space="preserve">) from the list of compulsory and elective courses in one of the undergraduate or </w:t>
      </w:r>
      <w:r w:rsidR="001533D0">
        <w:rPr>
          <w:rFonts w:eastAsia="新細明體" w:hint="eastAsia"/>
        </w:rPr>
        <w:t>institute</w:t>
      </w:r>
      <w:r>
        <w:t xml:space="preserve"> programs offered in the Department. The student’s </w:t>
      </w:r>
      <w:r w:rsidR="001533D0">
        <w:rPr>
          <w:rFonts w:eastAsia="新細明體" w:hint="eastAsia"/>
        </w:rPr>
        <w:t>average</w:t>
      </w:r>
      <w:r>
        <w:t xml:space="preserve"> ranking must be in the top seven in the year.</w:t>
      </w:r>
    </w:p>
    <w:p w:rsidR="00422EAE" w:rsidRPr="009C218E" w:rsidRDefault="00C41361" w:rsidP="00422EAE">
      <w:pPr>
        <w:pStyle w:val="PARAGRAPH"/>
      </w:pPr>
      <w:r>
        <w:t xml:space="preserve">Improvement award (three students): </w:t>
      </w:r>
      <w:r w:rsidR="00422EAE">
        <w:t>Students that show significant improvement</w:t>
      </w:r>
      <w:r w:rsidR="001533D0">
        <w:rPr>
          <w:rFonts w:eastAsia="新細明體" w:hint="eastAsia"/>
        </w:rPr>
        <w:t>s</w:t>
      </w:r>
      <w:r w:rsidR="00422EAE">
        <w:t xml:space="preserve"> from the previous semester may apply. A maximum of three students </w:t>
      </w:r>
      <w:r w:rsidR="001533D0">
        <w:rPr>
          <w:rFonts w:eastAsia="新細明體" w:hint="eastAsia"/>
        </w:rPr>
        <w:t xml:space="preserve">may </w:t>
      </w:r>
      <w:r w:rsidR="00422EAE">
        <w:t>be selected from each course among the applicants.</w:t>
      </w:r>
    </w:p>
    <w:p w:rsidR="00D32C51" w:rsidRDefault="00422EAE" w:rsidP="00422EAE">
      <w:pPr>
        <w:pStyle w:val="ARTICLE"/>
      </w:pPr>
      <w:r>
        <w:t>Reward</w:t>
      </w:r>
      <w:r w:rsidR="001533D0">
        <w:rPr>
          <w:rFonts w:eastAsia="新細明體" w:hint="eastAsia"/>
        </w:rPr>
        <w:t>ing</w:t>
      </w:r>
      <w:r>
        <w:t xml:space="preserve"> Method:</w:t>
      </w:r>
    </w:p>
    <w:p w:rsidR="00422EAE" w:rsidRDefault="00422EAE" w:rsidP="00422EAE">
      <w:pPr>
        <w:pStyle w:val="ARTICLE"/>
        <w:numPr>
          <w:ilvl w:val="0"/>
          <w:numId w:val="0"/>
        </w:numPr>
        <w:ind w:left="720"/>
      </w:pPr>
      <w:r>
        <w:t>Applications for the aforementioned scholarships may not be repeated. The amount awarded is determined by the Department</w:t>
      </w:r>
      <w:r w:rsidR="001533D0">
        <w:rPr>
          <w:rFonts w:eastAsia="新細明體"/>
        </w:rPr>
        <w:t>’</w:t>
      </w:r>
      <w:r w:rsidR="001533D0">
        <w:rPr>
          <w:rFonts w:eastAsia="新細明體" w:hint="eastAsia"/>
        </w:rPr>
        <w:t>s</w:t>
      </w:r>
      <w:r w:rsidR="001533D0">
        <w:t xml:space="preserve"> </w:t>
      </w:r>
      <w:r w:rsidR="001533D0">
        <w:rPr>
          <w:rFonts w:eastAsia="新細明體" w:hint="eastAsia"/>
        </w:rPr>
        <w:t>chair</w:t>
      </w:r>
      <w:r>
        <w:t xml:space="preserve"> based on the annual budget. In addition, a</w:t>
      </w:r>
      <w:r w:rsidR="001533D0">
        <w:rPr>
          <w:rFonts w:eastAsia="新細明體" w:hint="eastAsia"/>
        </w:rPr>
        <w:t>n award certificate</w:t>
      </w:r>
      <w:r w:rsidR="001533D0">
        <w:t xml:space="preserve"> is issue to </w:t>
      </w:r>
      <w:r w:rsidR="001533D0">
        <w:rPr>
          <w:rFonts w:eastAsia="新細明體" w:hint="eastAsia"/>
        </w:rPr>
        <w:t xml:space="preserve">each </w:t>
      </w:r>
      <w:r>
        <w:t>student.</w:t>
      </w:r>
    </w:p>
    <w:p w:rsidR="00D32C51" w:rsidRPr="00777B02" w:rsidRDefault="00422EAE" w:rsidP="0016581C">
      <w:pPr>
        <w:pStyle w:val="ARTICLE"/>
      </w:pPr>
      <w:r>
        <w:t>Scholarships are arranged once a semester. A list of students receiving scholarship</w:t>
      </w:r>
      <w:r w:rsidR="001533D0">
        <w:rPr>
          <w:rFonts w:eastAsia="新細明體" w:hint="eastAsia"/>
        </w:rPr>
        <w:t>s</w:t>
      </w:r>
      <w:r>
        <w:t xml:space="preserve"> and their transc</w:t>
      </w:r>
      <w:r w:rsidR="001533D0">
        <w:t xml:space="preserve">ripts shall be reviewed in </w:t>
      </w:r>
      <w:r w:rsidR="001533D0">
        <w:rPr>
          <w:rFonts w:eastAsia="新細明體" w:hint="eastAsia"/>
        </w:rPr>
        <w:t>a</w:t>
      </w:r>
      <w:r w:rsidR="001533D0">
        <w:t xml:space="preserve"> </w:t>
      </w:r>
      <w:r w:rsidR="001533D0">
        <w:rPr>
          <w:rFonts w:eastAsia="新細明體" w:hint="eastAsia"/>
        </w:rPr>
        <w:t>c</w:t>
      </w:r>
      <w:r w:rsidR="001533D0">
        <w:t xml:space="preserve">urriculum </w:t>
      </w:r>
      <w:r w:rsidR="001533D0">
        <w:rPr>
          <w:rFonts w:eastAsia="新細明體" w:hint="eastAsia"/>
        </w:rPr>
        <w:t>c</w:t>
      </w:r>
      <w:r>
        <w:t>ommi</w:t>
      </w:r>
      <w:r w:rsidR="001533D0">
        <w:t xml:space="preserve">ttee </w:t>
      </w:r>
      <w:r w:rsidR="001533D0">
        <w:rPr>
          <w:rFonts w:eastAsia="新細明體" w:hint="eastAsia"/>
        </w:rPr>
        <w:t>m</w:t>
      </w:r>
      <w:r>
        <w:t>eeting.</w:t>
      </w:r>
    </w:p>
    <w:p w:rsidR="00777B02" w:rsidRPr="00777B02" w:rsidRDefault="00777B02" w:rsidP="00777B02">
      <w:pPr>
        <w:pStyle w:val="ARTICLE"/>
      </w:pPr>
      <w:r>
        <w:rPr>
          <w:rFonts w:hint="eastAsia"/>
        </w:rPr>
        <w:t>The present regulations shall be implemented following approval</w:t>
      </w:r>
      <w:r w:rsidR="001533D0">
        <w:rPr>
          <w:rFonts w:eastAsia="新細明體" w:hint="eastAsia"/>
        </w:rPr>
        <w:t>s</w:t>
      </w:r>
      <w:r w:rsidR="001533D0">
        <w:rPr>
          <w:rFonts w:hint="eastAsia"/>
        </w:rPr>
        <w:t xml:space="preserve"> of </w:t>
      </w:r>
      <w:r w:rsidR="001533D0">
        <w:rPr>
          <w:rFonts w:eastAsia="新細明體" w:hint="eastAsia"/>
        </w:rPr>
        <w:t>d</w:t>
      </w:r>
      <w:r>
        <w:t>e</w:t>
      </w:r>
      <w:r w:rsidR="001533D0">
        <w:rPr>
          <w:rFonts w:hint="eastAsia"/>
        </w:rPr>
        <w:t xml:space="preserve">partment </w:t>
      </w:r>
      <w:r w:rsidR="001533D0">
        <w:rPr>
          <w:rFonts w:eastAsia="新細明體" w:hint="eastAsia"/>
        </w:rPr>
        <w:t>g</w:t>
      </w:r>
      <w:r w:rsidR="001533D0">
        <w:rPr>
          <w:rFonts w:hint="eastAsia"/>
        </w:rPr>
        <w:t xml:space="preserve">eneral </w:t>
      </w:r>
      <w:r w:rsidR="001533D0">
        <w:rPr>
          <w:rFonts w:eastAsia="新細明體" w:hint="eastAsia"/>
        </w:rPr>
        <w:t>m</w:t>
      </w:r>
      <w:r>
        <w:rPr>
          <w:rFonts w:hint="eastAsia"/>
        </w:rPr>
        <w:t>eeting</w:t>
      </w:r>
      <w:r w:rsidR="001533D0">
        <w:rPr>
          <w:rFonts w:eastAsia="新細明體" w:hint="eastAsia"/>
        </w:rPr>
        <w:t>s</w:t>
      </w:r>
      <w:bookmarkStart w:id="0" w:name="_GoBack"/>
      <w:bookmarkEnd w:id="0"/>
      <w:r>
        <w:rPr>
          <w:rFonts w:hint="eastAsia"/>
        </w:rPr>
        <w:t xml:space="preserve">. </w:t>
      </w:r>
      <w:r w:rsidRPr="00777B02">
        <w:rPr>
          <w:rFonts w:eastAsia="新細明體"/>
        </w:rPr>
        <w:t>The same procedure shall be carried out when amendments are to be made.</w:t>
      </w:r>
    </w:p>
    <w:p w:rsidR="00777B02" w:rsidRPr="0016581C" w:rsidRDefault="00777B02" w:rsidP="00777B02">
      <w:pPr>
        <w:pStyle w:val="ARTICLE"/>
        <w:numPr>
          <w:ilvl w:val="0"/>
          <w:numId w:val="0"/>
        </w:numPr>
        <w:ind w:left="720" w:hanging="360"/>
      </w:pPr>
    </w:p>
    <w:sectPr w:rsidR="00777B02" w:rsidRPr="0016581C" w:rsidSect="003C715A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51"/>
    <w:rsid w:val="001144A6"/>
    <w:rsid w:val="001533D0"/>
    <w:rsid w:val="0016581C"/>
    <w:rsid w:val="003C715A"/>
    <w:rsid w:val="00422EAE"/>
    <w:rsid w:val="00594BF4"/>
    <w:rsid w:val="00704A40"/>
    <w:rsid w:val="00777B02"/>
    <w:rsid w:val="009C218E"/>
    <w:rsid w:val="00B817C6"/>
    <w:rsid w:val="00C41361"/>
    <w:rsid w:val="00D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A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715A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3C715A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3C715A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3C715A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3C715A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3C715A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3C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15A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3C715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3C715A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3C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715A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3C715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3C715A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3C715A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3C715A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3C715A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3C715A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3C715A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3C715A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A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715A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3C715A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3C715A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3C715A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3C715A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3C715A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3C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15A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3C715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3C715A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3C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715A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3C715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3C715A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3C715A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3C715A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3C715A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3C715A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3C715A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3C715A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&lt;4D6963726F736F667420576F7264202D20A4A4A473A46ABEC7B8EAA475A874BEC7A468AF5AB14DB77EBDD2B57BBCFABEC7AAF7B9EAAC49BFECAA6B2831353032313229&gt;</vt:lpstr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&lt;4D6963726F736F667420576F7264202D20A4A4A473A46ABEC7B8EAA475A874BEC7A468AF5AB14DB77EBDD2B57BBCFABEC7AAF7B9EAAC49BFECAA6B2831353032313229&gt;</dc:title>
  <dc:creator>lphuang</dc:creator>
  <cp:lastModifiedBy>E</cp:lastModifiedBy>
  <cp:revision>2</cp:revision>
  <dcterms:created xsi:type="dcterms:W3CDTF">2015-08-28T02:08:00Z</dcterms:created>
  <dcterms:modified xsi:type="dcterms:W3CDTF">2015-08-28T02:08:00Z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2015-07-21T00:00:00Z</vt:filetime>
  </property>
</Properties>
</file>